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FCE6C" w14:textId="33B3745F" w:rsidR="004143C8" w:rsidRPr="003D6737" w:rsidRDefault="004143C8" w:rsidP="004143C8">
      <w:pPr>
        <w:rPr>
          <w:rFonts w:ascii="Times New Roman" w:hAnsi="Times New Roman" w:cs="Times New Roman"/>
          <w:b/>
          <w:sz w:val="20"/>
          <w:szCs w:val="20"/>
          <w:lang w:val="en-GB"/>
        </w:rPr>
      </w:pPr>
      <w:bookmarkStart w:id="0" w:name="_GoBack"/>
      <w:bookmarkEnd w:id="0"/>
      <w:r w:rsidRPr="003D6737">
        <w:rPr>
          <w:rFonts w:ascii="Times New Roman" w:hAnsi="Times New Roman" w:cs="Times New Roman"/>
          <w:b/>
          <w:bCs/>
          <w:sz w:val="20"/>
          <w:szCs w:val="20"/>
          <w:lang w:val="en-GB"/>
        </w:rPr>
        <w:t xml:space="preserve">S.25.03. – </w:t>
      </w:r>
      <w:r w:rsidRPr="003D6737">
        <w:rPr>
          <w:rFonts w:ascii="Times New Roman" w:hAnsi="Times New Roman" w:cs="Times New Roman"/>
          <w:b/>
          <w:sz w:val="20"/>
          <w:szCs w:val="20"/>
          <w:lang w:val="en-GB"/>
        </w:rPr>
        <w:t xml:space="preserve">Solvency Capital Requirement - for </w:t>
      </w:r>
      <w:r w:rsidR="00CA7462" w:rsidRPr="003D6737">
        <w:rPr>
          <w:rFonts w:ascii="Times New Roman" w:hAnsi="Times New Roman" w:cs="Times New Roman"/>
          <w:b/>
          <w:sz w:val="20"/>
          <w:szCs w:val="20"/>
          <w:lang w:val="en-GB"/>
        </w:rPr>
        <w:t>groups</w:t>
      </w:r>
      <w:r w:rsidRPr="003D6737">
        <w:rPr>
          <w:rFonts w:ascii="Times New Roman" w:hAnsi="Times New Roman" w:cs="Times New Roman"/>
          <w:b/>
          <w:sz w:val="20"/>
          <w:szCs w:val="20"/>
          <w:lang w:val="en-GB"/>
        </w:rPr>
        <w:t xml:space="preserve"> using full internal model</w:t>
      </w:r>
    </w:p>
    <w:p w14:paraId="4BFEE511" w14:textId="77777777" w:rsidR="004143C8" w:rsidRPr="003D6737" w:rsidRDefault="004143C8" w:rsidP="004143C8">
      <w:pPr>
        <w:rPr>
          <w:rFonts w:ascii="Times New Roman" w:hAnsi="Times New Roman" w:cs="Times New Roman"/>
          <w:b/>
          <w:sz w:val="20"/>
          <w:szCs w:val="20"/>
          <w:lang w:val="en-GB"/>
        </w:rPr>
      </w:pPr>
      <w:r w:rsidRPr="003D6737">
        <w:rPr>
          <w:rFonts w:ascii="Times New Roman" w:hAnsi="Times New Roman" w:cs="Times New Roman"/>
          <w:b/>
          <w:sz w:val="20"/>
          <w:szCs w:val="20"/>
          <w:lang w:val="en-GB"/>
        </w:rPr>
        <w:t>General comments:</w:t>
      </w:r>
    </w:p>
    <w:p w14:paraId="0CA6A33B" w14:textId="77777777"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FD0D10B" w14:textId="4361B4B8"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This annex relates to opening and annual submission of information for </w:t>
      </w:r>
      <w:r w:rsidR="00CA7462" w:rsidRPr="003D6737">
        <w:rPr>
          <w:rFonts w:ascii="Times New Roman" w:hAnsi="Times New Roman" w:cs="Times New Roman"/>
          <w:sz w:val="20"/>
          <w:szCs w:val="20"/>
          <w:lang w:val="en-GB"/>
        </w:rPr>
        <w:t>groups</w:t>
      </w:r>
      <w:r w:rsidRPr="003D6737">
        <w:rPr>
          <w:rFonts w:ascii="Times New Roman" w:hAnsi="Times New Roman" w:cs="Times New Roman"/>
          <w:sz w:val="20"/>
          <w:szCs w:val="20"/>
          <w:lang w:val="en-GB"/>
        </w:rPr>
        <w:t xml:space="preserve">, ring fenced-funds, matching </w:t>
      </w:r>
      <w:r w:rsidR="00A32F71" w:rsidRPr="003D6737">
        <w:rPr>
          <w:rFonts w:ascii="Times New Roman" w:hAnsi="Times New Roman" w:cs="Times New Roman"/>
          <w:sz w:val="20"/>
          <w:szCs w:val="20"/>
          <w:lang w:val="en-GB"/>
        </w:rPr>
        <w:t xml:space="preserve">adjustment </w:t>
      </w:r>
      <w:r w:rsidRPr="003D6737">
        <w:rPr>
          <w:rFonts w:ascii="Times New Roman" w:hAnsi="Times New Roman" w:cs="Times New Roman"/>
          <w:sz w:val="20"/>
          <w:szCs w:val="20"/>
          <w:lang w:val="en-GB"/>
        </w:rPr>
        <w:t>portfolios and remaining part.</w:t>
      </w:r>
    </w:p>
    <w:p w14:paraId="0E892922" w14:textId="255B996E"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The components to be reported shall be agreed between national supervisory authorities and </w:t>
      </w:r>
      <w:r w:rsidR="00CA7462" w:rsidRPr="003D6737">
        <w:rPr>
          <w:rFonts w:ascii="Times New Roman" w:hAnsi="Times New Roman" w:cs="Times New Roman"/>
          <w:sz w:val="20"/>
          <w:szCs w:val="20"/>
          <w:lang w:val="en-GB"/>
        </w:rPr>
        <w:t>groups</w:t>
      </w:r>
      <w:r w:rsidRPr="003D6737">
        <w:rPr>
          <w:rFonts w:ascii="Times New Roman" w:hAnsi="Times New Roman" w:cs="Times New Roman"/>
          <w:sz w:val="20"/>
          <w:szCs w:val="20"/>
          <w:lang w:val="en-GB"/>
        </w:rPr>
        <w:t xml:space="preserve">. </w:t>
      </w:r>
    </w:p>
    <w:p w14:paraId="5BBB3F40" w14:textId="2D92C821" w:rsidR="007E0F74" w:rsidRPr="003D6737" w:rsidRDefault="007E0F74" w:rsidP="007E0F74">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The variant S.25.01.l has to be filled in for each ring-fenced fund (RFF), each matching adjustment portfolio (MAP) and for the remaining part. However, where a RFF/MAP includes a MAP/R</w:t>
      </w:r>
      <w:r w:rsidR="00A32F71" w:rsidRPr="003D6737">
        <w:rPr>
          <w:rFonts w:ascii="Times New Roman" w:hAnsi="Times New Roman" w:cs="Times New Roman"/>
          <w:sz w:val="20"/>
          <w:szCs w:val="20"/>
          <w:lang w:val="en-GB"/>
        </w:rPr>
        <w:t>F</w:t>
      </w:r>
      <w:r w:rsidRPr="003D6737">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p w14:paraId="5358CC72" w14:textId="77777777" w:rsidR="00CA7462" w:rsidRPr="003D6737" w:rsidRDefault="00CA7462" w:rsidP="00CA7462">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For group reporting the following specific requirements shall be met: </w:t>
      </w:r>
    </w:p>
    <w:p w14:paraId="10A80483" w14:textId="7B7C9967" w:rsidR="00CA7462" w:rsidRPr="003D6737" w:rsidRDefault="00CA7462" w:rsidP="00CA7462">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The information until R0460 is applicable when method 1 as defined in Article 230 of  </w:t>
      </w:r>
      <w:r w:rsidR="007403C9">
        <w:rPr>
          <w:rFonts w:ascii="Times New Roman" w:hAnsi="Times New Roman" w:cs="Times New Roman"/>
          <w:sz w:val="20"/>
          <w:szCs w:val="20"/>
          <w:lang w:val="en-GB"/>
        </w:rPr>
        <w:t>Directive 2009/138/EC</w:t>
      </w:r>
      <w:r w:rsidRPr="003D6737">
        <w:rPr>
          <w:rFonts w:ascii="Times New Roman" w:hAnsi="Times New Roman" w:cs="Times New Roman"/>
          <w:sz w:val="20"/>
          <w:szCs w:val="20"/>
          <w:lang w:val="en-GB"/>
        </w:rPr>
        <w:t xml:space="preserve">  is  used,  either  exclusively  or  in  combination with method 2 as defined in Article 233 of </w:t>
      </w:r>
      <w:r w:rsidR="007403C9">
        <w:rPr>
          <w:rFonts w:ascii="Times New Roman" w:eastAsia="Times New Roman" w:hAnsi="Times New Roman" w:cs="Times New Roman"/>
          <w:sz w:val="20"/>
          <w:szCs w:val="20"/>
          <w:lang w:val="en-GB" w:eastAsia="es-ES"/>
        </w:rPr>
        <w:t>Directive 2009/138/EC</w:t>
      </w:r>
      <w:r w:rsidRPr="003D6737">
        <w:rPr>
          <w:rFonts w:ascii="Times New Roman" w:hAnsi="Times New Roman" w:cs="Times New Roman"/>
          <w:sz w:val="20"/>
          <w:szCs w:val="20"/>
          <w:lang w:val="en-GB"/>
        </w:rPr>
        <w:t xml:space="preserve">; </w:t>
      </w:r>
    </w:p>
    <w:p w14:paraId="18C1D9ED" w14:textId="55965B3C" w:rsidR="00CA7462" w:rsidRPr="003D6737" w:rsidRDefault="00CA7462" w:rsidP="00CA7462">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When  combination  method  is  being  used,  the information until R0460 is  to  be submitted  only  for  the  part  of  the  group  calculated  with  method 1 as defined in Article 230 of </w:t>
      </w:r>
      <w:r w:rsidR="007403C9">
        <w:rPr>
          <w:rFonts w:ascii="Times New Roman" w:eastAsia="Times New Roman" w:hAnsi="Times New Roman" w:cs="Times New Roman"/>
          <w:sz w:val="20"/>
          <w:szCs w:val="20"/>
          <w:lang w:val="en-GB" w:eastAsia="es-ES"/>
        </w:rPr>
        <w:t>Directive 2009/138/EC</w:t>
      </w:r>
      <w:r w:rsidR="00247293">
        <w:rPr>
          <w:rFonts w:ascii="Times New Roman" w:hAnsi="Times New Roman" w:cs="Times New Roman"/>
          <w:sz w:val="20"/>
          <w:szCs w:val="20"/>
          <w:lang w:val="en-GB"/>
        </w:rPr>
        <w:t>.</w:t>
      </w:r>
      <w:r w:rsidRPr="003D6737">
        <w:rPr>
          <w:rFonts w:ascii="Times New Roman" w:hAnsi="Times New Roman" w:cs="Times New Roman"/>
          <w:sz w:val="20"/>
          <w:szCs w:val="20"/>
          <w:lang w:val="en-GB"/>
        </w:rPr>
        <w:t xml:space="preserve"> </w:t>
      </w:r>
    </w:p>
    <w:p w14:paraId="532BA337" w14:textId="77777777" w:rsidR="007403C9" w:rsidRPr="007403C9" w:rsidRDefault="007403C9" w:rsidP="007403C9">
      <w:pPr>
        <w:jc w:val="both"/>
        <w:rPr>
          <w:rFonts w:ascii="Times New Roman" w:hAnsi="Times New Roman" w:cs="Times New Roman"/>
          <w:sz w:val="20"/>
          <w:szCs w:val="20"/>
          <w:lang w:val="en-GB"/>
        </w:rPr>
      </w:pP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72"/>
        <w:gridCol w:w="4708"/>
        <w:gridCol w:w="74"/>
      </w:tblGrid>
      <w:tr w:rsidR="007403C9" w:rsidRPr="003D6737" w14:paraId="30EBC744" w14:textId="77777777" w:rsidTr="007403C9">
        <w:trPr>
          <w:trHeight w:val="336"/>
        </w:trPr>
        <w:tc>
          <w:tcPr>
            <w:tcW w:w="1263" w:type="dxa"/>
            <w:shd w:val="clear" w:color="000000" w:fill="FFFFFF"/>
            <w:vAlign w:val="center"/>
          </w:tcPr>
          <w:p w14:paraId="22DFB7FD" w14:textId="77777777"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p>
        </w:tc>
        <w:tc>
          <w:tcPr>
            <w:tcW w:w="2672" w:type="dxa"/>
            <w:shd w:val="clear" w:color="000000" w:fill="FFFFFF"/>
            <w:vAlign w:val="center"/>
          </w:tcPr>
          <w:p w14:paraId="7BA21CBA" w14:textId="649A62DF"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b/>
                <w:sz w:val="20"/>
                <w:szCs w:val="20"/>
                <w:lang w:val="en-GB" w:eastAsia="es-ES"/>
              </w:rPr>
              <w:t>ITEM</w:t>
            </w:r>
          </w:p>
        </w:tc>
        <w:tc>
          <w:tcPr>
            <w:tcW w:w="4782" w:type="dxa"/>
            <w:gridSpan w:val="2"/>
            <w:shd w:val="clear" w:color="000000" w:fill="FFFFFF"/>
            <w:vAlign w:val="center"/>
          </w:tcPr>
          <w:p w14:paraId="15351824" w14:textId="13FBBF14"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b/>
                <w:sz w:val="20"/>
                <w:szCs w:val="20"/>
                <w:lang w:val="en-GB" w:eastAsia="es-ES"/>
              </w:rPr>
              <w:t>INSTRUCTIONS</w:t>
            </w:r>
          </w:p>
        </w:tc>
      </w:tr>
      <w:tr w:rsidR="0005516C" w:rsidRPr="003D6737" w14:paraId="2BAF8295" w14:textId="77777777" w:rsidTr="007403C9">
        <w:trPr>
          <w:trHeight w:val="1516"/>
        </w:trPr>
        <w:tc>
          <w:tcPr>
            <w:tcW w:w="1263" w:type="dxa"/>
            <w:shd w:val="clear" w:color="000000" w:fill="FFFFFF"/>
            <w:hideMark/>
          </w:tcPr>
          <w:p w14:paraId="297C2EC9" w14:textId="60ED0FDF"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Z0020</w:t>
            </w:r>
          </w:p>
        </w:tc>
        <w:tc>
          <w:tcPr>
            <w:tcW w:w="2672" w:type="dxa"/>
            <w:shd w:val="clear" w:color="000000" w:fill="FFFFFF"/>
            <w:hideMark/>
          </w:tcPr>
          <w:p w14:paraId="1C1B95FC" w14:textId="6F5983F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Ring-fenced fund,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 or Remaining Part</w:t>
            </w:r>
          </w:p>
        </w:tc>
        <w:tc>
          <w:tcPr>
            <w:tcW w:w="4782" w:type="dxa"/>
            <w:gridSpan w:val="2"/>
            <w:shd w:val="clear" w:color="000000" w:fill="FFFFFF"/>
            <w:hideMark/>
          </w:tcPr>
          <w:p w14:paraId="167BEFE9" w14:textId="330A59CB"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Identifies whether the reported figures are with regard to a RFF,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 or to the remaining part. One of the options in the following closed list shall be used:</w:t>
            </w:r>
            <w:r w:rsidRPr="003D6737">
              <w:rPr>
                <w:rFonts w:ascii="Times New Roman" w:eastAsia="Times New Roman" w:hAnsi="Times New Roman" w:cs="Times New Roman"/>
                <w:sz w:val="20"/>
                <w:szCs w:val="20"/>
                <w:lang w:val="en-GB" w:eastAsia="es-ES"/>
              </w:rPr>
              <w:br/>
            </w:r>
            <w:r w:rsidR="00A32F71" w:rsidRPr="003D6737">
              <w:rPr>
                <w:rFonts w:ascii="Times New Roman" w:eastAsia="Times New Roman" w:hAnsi="Times New Roman" w:cs="Times New Roman"/>
                <w:sz w:val="20"/>
                <w:szCs w:val="20"/>
                <w:lang w:val="en-GB" w:eastAsia="es-ES"/>
              </w:rPr>
              <w:t>1 – RFF/MAP</w:t>
            </w:r>
            <w:r w:rsidR="00A32F71" w:rsidRPr="003D6737" w:rsidDel="00C11F0B">
              <w:rPr>
                <w:rFonts w:ascii="Times New Roman" w:eastAsia="Times New Roman" w:hAnsi="Times New Roman" w:cs="Times New Roman"/>
                <w:sz w:val="20"/>
                <w:szCs w:val="20"/>
                <w:lang w:val="en-GB" w:eastAsia="es-ES"/>
              </w:rPr>
              <w:t xml:space="preserve"> </w:t>
            </w:r>
            <w:r w:rsidR="00A32F71" w:rsidRPr="003D6737">
              <w:rPr>
                <w:rFonts w:ascii="Times New Roman" w:eastAsia="Times New Roman" w:hAnsi="Times New Roman" w:cs="Times New Roman"/>
                <w:sz w:val="20"/>
                <w:szCs w:val="20"/>
                <w:lang w:val="en-GB" w:eastAsia="es-ES"/>
              </w:rPr>
              <w:br/>
              <w:t>2 – Remaining part</w:t>
            </w:r>
          </w:p>
        </w:tc>
      </w:tr>
      <w:tr w:rsidR="0005516C" w:rsidRPr="003D6737" w14:paraId="7ADC2842"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73145CE"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Z0030</w:t>
            </w:r>
          </w:p>
        </w:tc>
        <w:tc>
          <w:tcPr>
            <w:tcW w:w="2672" w:type="dxa"/>
            <w:tcBorders>
              <w:top w:val="single" w:sz="4" w:space="0" w:color="auto"/>
              <w:left w:val="nil"/>
              <w:bottom w:val="single" w:sz="4" w:space="0" w:color="auto"/>
              <w:right w:val="single" w:sz="4" w:space="0" w:color="auto"/>
            </w:tcBorders>
            <w:shd w:val="clear" w:color="auto" w:fill="auto"/>
          </w:tcPr>
          <w:p w14:paraId="084FA1BE"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Fund/Portfolio number</w:t>
            </w:r>
          </w:p>
        </w:tc>
        <w:tc>
          <w:tcPr>
            <w:tcW w:w="4782" w:type="dxa"/>
            <w:gridSpan w:val="2"/>
            <w:tcBorders>
              <w:top w:val="single" w:sz="4" w:space="0" w:color="auto"/>
              <w:left w:val="nil"/>
              <w:bottom w:val="single" w:sz="4" w:space="0" w:color="auto"/>
              <w:right w:val="single" w:sz="4" w:space="0" w:color="auto"/>
            </w:tcBorders>
            <w:shd w:val="clear" w:color="auto" w:fill="auto"/>
          </w:tcPr>
          <w:p w14:paraId="71FCA873" w14:textId="646C9699"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Identification number for a ring fenced fund or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 xml:space="preserve">portfolio. This number is attributed by the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and must be consistent over time and with the fund/portfolio number reported in other templates, e.g. S.26.02, S.14.01, S.23.01. </w:t>
            </w:r>
          </w:p>
          <w:p w14:paraId="04D726FD"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p>
          <w:p w14:paraId="4CFF57E7"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This item is to be completed only when item Z0020 = 1 </w:t>
            </w:r>
          </w:p>
        </w:tc>
      </w:tr>
      <w:tr w:rsidR="0005516C" w:rsidRPr="003D6737" w14:paraId="5B2C8B21"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63" w:type="dxa"/>
            <w:tcBorders>
              <w:top w:val="nil"/>
              <w:left w:val="single" w:sz="4" w:space="0" w:color="auto"/>
              <w:bottom w:val="single" w:sz="4" w:space="0" w:color="auto"/>
              <w:right w:val="single" w:sz="4" w:space="0" w:color="auto"/>
            </w:tcBorders>
            <w:shd w:val="clear" w:color="auto" w:fill="auto"/>
            <w:hideMark/>
          </w:tcPr>
          <w:p w14:paraId="2E77CCF2" w14:textId="4A75B871"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C0020</w:t>
            </w:r>
          </w:p>
          <w:p w14:paraId="48F6F560" w14:textId="32DC5386"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(A1A)</w:t>
            </w:r>
          </w:p>
        </w:tc>
        <w:tc>
          <w:tcPr>
            <w:tcW w:w="2672" w:type="dxa"/>
            <w:tcBorders>
              <w:top w:val="nil"/>
              <w:left w:val="nil"/>
              <w:bottom w:val="single" w:sz="4" w:space="0" w:color="auto"/>
              <w:right w:val="single" w:sz="4" w:space="0" w:color="auto"/>
            </w:tcBorders>
            <w:shd w:val="clear" w:color="auto" w:fill="auto"/>
            <w:hideMark/>
          </w:tcPr>
          <w:p w14:paraId="45303519" w14:textId="77777777"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Unique number of component</w:t>
            </w:r>
          </w:p>
        </w:tc>
        <w:tc>
          <w:tcPr>
            <w:tcW w:w="4782" w:type="dxa"/>
            <w:gridSpan w:val="2"/>
            <w:tcBorders>
              <w:top w:val="nil"/>
              <w:left w:val="nil"/>
              <w:bottom w:val="single" w:sz="4" w:space="0" w:color="auto"/>
              <w:right w:val="single" w:sz="4" w:space="0" w:color="auto"/>
            </w:tcBorders>
            <w:shd w:val="clear" w:color="auto" w:fill="auto"/>
            <w:hideMark/>
          </w:tcPr>
          <w:p w14:paraId="21D89697" w14:textId="77777777"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Unique number of each component of the full internal model, agreed with their national supervisory authority to identify uniquely components from their model. This number shall always be used with the appropriate component description reported in each item C0030.</w:t>
            </w:r>
          </w:p>
          <w:p w14:paraId="26441368" w14:textId="77777777"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p>
          <w:p w14:paraId="6571D606" w14:textId="2F23841C"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The numbers of the components shall be kept consistent over time. </w:t>
            </w:r>
          </w:p>
        </w:tc>
      </w:tr>
      <w:tr w:rsidR="00D936B7" w:rsidRPr="003D6737" w14:paraId="6D43EF89" w14:textId="77777777" w:rsidTr="003D6737">
        <w:trPr>
          <w:trHeight w:val="2760"/>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143552BD" w14:textId="424040C6" w:rsidR="00D936B7" w:rsidRPr="003D6737"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C00</w:t>
            </w:r>
            <w:r w:rsidR="0005516C" w:rsidRPr="003D6737">
              <w:rPr>
                <w:rFonts w:ascii="Times New Roman" w:eastAsia="Times New Roman" w:hAnsi="Times New Roman" w:cs="Times New Roman"/>
                <w:sz w:val="20"/>
                <w:szCs w:val="20"/>
                <w:lang w:val="en-GB" w:eastAsia="es-ES"/>
              </w:rPr>
              <w:t>3</w:t>
            </w:r>
            <w:r w:rsidR="00D936B7" w:rsidRPr="003D6737">
              <w:rPr>
                <w:rFonts w:ascii="Times New Roman" w:eastAsia="Times New Roman" w:hAnsi="Times New Roman" w:cs="Times New Roman"/>
                <w:sz w:val="20"/>
                <w:szCs w:val="20"/>
                <w:lang w:val="en-GB" w:eastAsia="es-ES"/>
              </w:rPr>
              <w:t>0</w:t>
            </w:r>
          </w:p>
          <w:p w14:paraId="67644367" w14:textId="49BDE0F4"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w:t>
            </w:r>
          </w:p>
        </w:tc>
        <w:tc>
          <w:tcPr>
            <w:tcW w:w="2672" w:type="dxa"/>
            <w:tcBorders>
              <w:top w:val="single" w:sz="4" w:space="0" w:color="auto"/>
              <w:left w:val="nil"/>
              <w:bottom w:val="single" w:sz="4" w:space="0" w:color="auto"/>
              <w:right w:val="single" w:sz="4" w:space="0" w:color="auto"/>
            </w:tcBorders>
            <w:shd w:val="clear" w:color="auto" w:fill="auto"/>
            <w:hideMark/>
          </w:tcPr>
          <w:p w14:paraId="0C7ABF35" w14:textId="3601C1A6"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Components </w:t>
            </w:r>
            <w:r w:rsidR="0005516C" w:rsidRPr="003D6737">
              <w:rPr>
                <w:rFonts w:ascii="Times New Roman" w:eastAsia="Times New Roman" w:hAnsi="Times New Roman" w:cs="Times New Roman"/>
                <w:sz w:val="20"/>
                <w:szCs w:val="20"/>
                <w:lang w:val="en-GB" w:eastAsia="es-ES"/>
              </w:rPr>
              <w:t>description</w:t>
            </w:r>
          </w:p>
        </w:tc>
        <w:tc>
          <w:tcPr>
            <w:tcW w:w="4782" w:type="dxa"/>
            <w:gridSpan w:val="2"/>
            <w:tcBorders>
              <w:top w:val="single" w:sz="4" w:space="0" w:color="auto"/>
              <w:left w:val="nil"/>
              <w:bottom w:val="single" w:sz="4" w:space="0" w:color="auto"/>
              <w:right w:val="single" w:sz="4" w:space="0" w:color="auto"/>
            </w:tcBorders>
            <w:shd w:val="clear" w:color="auto" w:fill="auto"/>
            <w:hideMark/>
          </w:tcPr>
          <w:p w14:paraId="35BE7F37" w14:textId="1666EFB9" w:rsidR="00F74D04"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CA7462" w:rsidRPr="003D6737">
              <w:rPr>
                <w:rFonts w:ascii="Times New Roman" w:eastAsia="Times New Roman" w:hAnsi="Times New Roman" w:cs="Times New Roman"/>
                <w:sz w:val="20"/>
                <w:szCs w:val="20"/>
                <w:lang w:val="en-GB" w:eastAsia="es-ES"/>
              </w:rPr>
              <w:t>Groups</w:t>
            </w:r>
            <w:r w:rsidR="0005516C" w:rsidRPr="003D6737">
              <w:rPr>
                <w:rFonts w:ascii="Times New Roman" w:eastAsia="Times New Roman" w:hAnsi="Times New Roman" w:cs="Times New Roman"/>
                <w:sz w:val="20"/>
                <w:szCs w:val="20"/>
                <w:lang w:val="en-GB" w:eastAsia="es-ES"/>
              </w:rPr>
              <w:t xml:space="preserve"> shall identify and report components consistently across different reporting periods, unless there has been some change to internal model affecting the categories. </w:t>
            </w:r>
          </w:p>
          <w:p w14:paraId="693B3A6F" w14:textId="0607484E" w:rsidR="00D936B7" w:rsidRPr="003D6737" w:rsidRDefault="0005516C"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5C06003C" w14:textId="4A973956" w:rsidR="00D936B7" w:rsidRPr="003D6737" w:rsidRDefault="00D936B7"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Loss-absorbing capacity of technical provisions and/or deferred taxes modelled but not within components shall be reported as separated components.</w:t>
            </w:r>
          </w:p>
        </w:tc>
      </w:tr>
      <w:tr w:rsidR="00D936B7" w:rsidRPr="003D6737" w14:paraId="6C0160C5" w14:textId="77777777" w:rsidTr="007403C9">
        <w:trPr>
          <w:trHeight w:val="2334"/>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1631088" w14:textId="19325B4F" w:rsidR="00D936B7" w:rsidRPr="003D6737" w:rsidDel="004E62DA"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C004</w:t>
            </w:r>
            <w:r w:rsidR="00D936B7"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507DEDCC" w14:textId="09C98408" w:rsidR="00D936B7" w:rsidRPr="003D6737"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Calculation of the Solvency Capital Requirement</w:t>
            </w:r>
          </w:p>
        </w:tc>
        <w:tc>
          <w:tcPr>
            <w:tcW w:w="4782" w:type="dxa"/>
            <w:gridSpan w:val="2"/>
            <w:tcBorders>
              <w:top w:val="single" w:sz="4" w:space="0" w:color="auto"/>
              <w:left w:val="single" w:sz="4" w:space="0" w:color="auto"/>
              <w:bottom w:val="single" w:sz="4" w:space="0" w:color="auto"/>
              <w:right w:val="single" w:sz="4" w:space="0" w:color="auto"/>
            </w:tcBorders>
            <w:shd w:val="clear" w:color="auto" w:fill="auto"/>
          </w:tcPr>
          <w:p w14:paraId="1949D85E" w14:textId="34E2C50A"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net capital charge for each component,  after the adjustments for</w:t>
            </w:r>
            <w:r w:rsidR="00F74D04" w:rsidRPr="003D6737">
              <w:rPr>
                <w:rFonts w:ascii="Times New Roman" w:eastAsia="Times New Roman" w:hAnsi="Times New Roman" w:cs="Times New Roman"/>
                <w:sz w:val="20"/>
                <w:szCs w:val="20"/>
                <w:lang w:val="en-GB" w:eastAsia="es-ES"/>
              </w:rPr>
              <w:t xml:space="preserve"> the future management actions relating to</w:t>
            </w:r>
            <w:r w:rsidRPr="003D6737">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3D6737"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5A9E9ECA"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05516C" w:rsidRPr="003D6737">
              <w:rPr>
                <w:rFonts w:ascii="Times New Roman" w:eastAsia="Times New Roman" w:hAnsi="Times New Roman" w:cs="Times New Roman"/>
                <w:sz w:val="20"/>
                <w:szCs w:val="20"/>
                <w:lang w:val="en-GB" w:eastAsia="es-ES"/>
              </w:rPr>
              <w:t xml:space="preserve">reported as </w:t>
            </w:r>
            <w:r w:rsidRPr="003D6737">
              <w:rPr>
                <w:rFonts w:ascii="Times New Roman" w:eastAsia="Times New Roman" w:hAnsi="Times New Roman" w:cs="Times New Roman"/>
                <w:sz w:val="20"/>
                <w:szCs w:val="20"/>
                <w:lang w:val="en-GB" w:eastAsia="es-ES"/>
              </w:rPr>
              <w:t>negative</w:t>
            </w:r>
            <w:r w:rsidR="0005516C" w:rsidRPr="003D6737">
              <w:rPr>
                <w:rFonts w:ascii="Times New Roman" w:eastAsia="Times New Roman" w:hAnsi="Times New Roman" w:cs="Times New Roman"/>
                <w:sz w:val="20"/>
                <w:szCs w:val="20"/>
                <w:lang w:val="en-GB" w:eastAsia="es-ES"/>
              </w:rPr>
              <w:t xml:space="preserve"> values.</w:t>
            </w:r>
          </w:p>
        </w:tc>
      </w:tr>
      <w:tr w:rsidR="00D936B7" w:rsidRPr="003D6737" w14:paraId="727553CC" w14:textId="77777777" w:rsidTr="007403C9">
        <w:trPr>
          <w:trHeight w:val="3462"/>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0609FA58" w14:textId="5CAB409D" w:rsidR="00D936B7" w:rsidRPr="003D6737"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C0</w:t>
            </w:r>
            <w:r w:rsidR="00D936B7" w:rsidRPr="003D6737">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5</w:t>
            </w:r>
            <w:r w:rsidR="00D936B7"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hideMark/>
          </w:tcPr>
          <w:p w14:paraId="47D5AFAD" w14:textId="4B1DC35F" w:rsidR="00D936B7" w:rsidRPr="003D6737" w:rsidRDefault="00F74D04"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82" w:type="dxa"/>
            <w:gridSpan w:val="2"/>
            <w:tcBorders>
              <w:top w:val="single" w:sz="4" w:space="0" w:color="auto"/>
              <w:left w:val="nil"/>
              <w:bottom w:val="single" w:sz="4" w:space="0" w:color="auto"/>
              <w:right w:val="single" w:sz="4" w:space="0" w:color="auto"/>
            </w:tcBorders>
            <w:shd w:val="clear" w:color="auto" w:fill="auto"/>
            <w:hideMark/>
          </w:tcPr>
          <w:p w14:paraId="5D3ACF0E"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To identify if the future management actions relating to the loss absorbing capacity of technical provisions and/or deferred taxes are embedded in the calculation. The following closed list of options shall be used:</w:t>
            </w:r>
          </w:p>
          <w:p w14:paraId="34263450"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1 – Future management actions regarding the loss-absorbing capacity of technical provisions embedded within the component</w:t>
            </w:r>
          </w:p>
          <w:p w14:paraId="38B1ADF1"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2 – Future management actions regarding the loss-absorbing capacity of deferred taxes embedded within the component</w:t>
            </w:r>
          </w:p>
          <w:p w14:paraId="136AB7F7"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3 – Future management actions regarding the loss-absorbing capacity of technical provisions and deferred taxes embedded within the component</w:t>
            </w:r>
          </w:p>
          <w:p w14:paraId="6BC1520B" w14:textId="6753BB3E" w:rsidR="00D936B7" w:rsidRPr="003D6737" w:rsidRDefault="00F74D04"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4 – No embedded consideration of future management actions.</w:t>
            </w:r>
          </w:p>
        </w:tc>
      </w:tr>
      <w:tr w:rsidR="0005516C" w:rsidRPr="003D6737" w14:paraId="63A615B2"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AA37C94" w14:textId="789627C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R0110/C0</w:t>
            </w:r>
            <w:r w:rsidR="00C67BE4" w:rsidRPr="003D6737">
              <w:rPr>
                <w:rFonts w:ascii="Times New Roman" w:eastAsia="Times New Roman" w:hAnsi="Times New Roman" w:cs="Times New Roman"/>
                <w:sz w:val="20"/>
                <w:szCs w:val="20"/>
                <w:lang w:val="en-GB" w:eastAsia="es-ES"/>
              </w:rPr>
              <w:t>10</w:t>
            </w:r>
            <w:r w:rsidRPr="003D6737">
              <w:rPr>
                <w:rFonts w:ascii="Times New Roman" w:eastAsia="Times New Roman" w:hAnsi="Times New Roman" w:cs="Times New Roman"/>
                <w:sz w:val="20"/>
                <w:szCs w:val="20"/>
                <w:lang w:val="en-GB" w:eastAsia="es-ES"/>
              </w:rPr>
              <w:t>0</w:t>
            </w:r>
          </w:p>
          <w:p w14:paraId="2CEEFCC1"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(B2)</w:t>
            </w:r>
          </w:p>
        </w:tc>
        <w:tc>
          <w:tcPr>
            <w:tcW w:w="2672" w:type="dxa"/>
            <w:tcBorders>
              <w:top w:val="single" w:sz="4" w:space="0" w:color="auto"/>
              <w:left w:val="nil"/>
              <w:bottom w:val="single" w:sz="4" w:space="0" w:color="auto"/>
              <w:right w:val="single" w:sz="4" w:space="0" w:color="auto"/>
            </w:tcBorders>
            <w:shd w:val="clear" w:color="auto" w:fill="auto"/>
          </w:tcPr>
          <w:p w14:paraId="67633A6C"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Total of undiversified components</w:t>
            </w:r>
          </w:p>
        </w:tc>
        <w:tc>
          <w:tcPr>
            <w:tcW w:w="4782" w:type="dxa"/>
            <w:gridSpan w:val="2"/>
            <w:tcBorders>
              <w:top w:val="single" w:sz="4" w:space="0" w:color="auto"/>
              <w:left w:val="nil"/>
              <w:bottom w:val="single" w:sz="4" w:space="0" w:color="auto"/>
              <w:right w:val="single" w:sz="4" w:space="0" w:color="auto"/>
            </w:tcBorders>
            <w:shd w:val="clear" w:color="auto" w:fill="auto"/>
          </w:tcPr>
          <w:p w14:paraId="64C537EB"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Sum of all components.</w:t>
            </w:r>
          </w:p>
          <w:p w14:paraId="7CFF27C8" w14:textId="4FD20B57" w:rsidR="0005516C" w:rsidRPr="003D6737" w:rsidRDefault="0005516C">
            <w:pPr>
              <w:spacing w:after="0" w:line="240" w:lineRule="auto"/>
              <w:rPr>
                <w:rFonts w:ascii="Times New Roman" w:eastAsia="Times New Roman" w:hAnsi="Times New Roman" w:cs="Times New Roman"/>
                <w:sz w:val="20"/>
                <w:szCs w:val="20"/>
                <w:lang w:val="en-GB" w:eastAsia="es-ES"/>
              </w:rPr>
            </w:pPr>
          </w:p>
        </w:tc>
      </w:tr>
      <w:tr w:rsidR="00D936B7" w:rsidRPr="003D6737" w14:paraId="0EA9C629" w14:textId="77777777" w:rsidTr="003D6737">
        <w:trPr>
          <w:trHeight w:val="702"/>
        </w:trPr>
        <w:tc>
          <w:tcPr>
            <w:tcW w:w="1263" w:type="dxa"/>
            <w:tcBorders>
              <w:top w:val="nil"/>
              <w:left w:val="single" w:sz="4" w:space="0" w:color="auto"/>
              <w:bottom w:val="single" w:sz="4" w:space="0" w:color="auto"/>
              <w:right w:val="single" w:sz="4" w:space="0" w:color="auto"/>
            </w:tcBorders>
            <w:shd w:val="clear" w:color="auto" w:fill="auto"/>
            <w:hideMark/>
          </w:tcPr>
          <w:p w14:paraId="5646FEA3" w14:textId="25062A6C"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R0060/C0</w:t>
            </w:r>
            <w:r w:rsidR="00C67BE4" w:rsidRPr="003D6737">
              <w:rPr>
                <w:rFonts w:ascii="Times New Roman" w:eastAsia="Times New Roman" w:hAnsi="Times New Roman" w:cs="Times New Roman"/>
                <w:sz w:val="20"/>
                <w:szCs w:val="20"/>
                <w:lang w:val="en-GB" w:eastAsia="es-ES"/>
              </w:rPr>
              <w:t>10</w:t>
            </w:r>
            <w:r w:rsidRPr="003D6737">
              <w:rPr>
                <w:rFonts w:ascii="Times New Roman" w:eastAsia="Times New Roman" w:hAnsi="Times New Roman" w:cs="Times New Roman"/>
                <w:sz w:val="20"/>
                <w:szCs w:val="20"/>
                <w:lang w:val="en-GB" w:eastAsia="es-ES"/>
              </w:rPr>
              <w:t>0</w:t>
            </w:r>
          </w:p>
          <w:p w14:paraId="56A4B88F" w14:textId="50D0B359" w:rsidR="00D936B7" w:rsidRPr="003D6737" w:rsidRDefault="0005516C"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(B3)</w:t>
            </w:r>
          </w:p>
        </w:tc>
        <w:tc>
          <w:tcPr>
            <w:tcW w:w="2672" w:type="dxa"/>
            <w:tcBorders>
              <w:top w:val="nil"/>
              <w:left w:val="nil"/>
              <w:bottom w:val="single" w:sz="4" w:space="0" w:color="auto"/>
              <w:right w:val="single" w:sz="4" w:space="0" w:color="auto"/>
            </w:tcBorders>
            <w:shd w:val="clear" w:color="auto" w:fill="auto"/>
            <w:hideMark/>
          </w:tcPr>
          <w:p w14:paraId="08493333" w14:textId="717D31EC"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Diversification </w:t>
            </w:r>
          </w:p>
        </w:tc>
        <w:tc>
          <w:tcPr>
            <w:tcW w:w="4782" w:type="dxa"/>
            <w:gridSpan w:val="2"/>
            <w:tcBorders>
              <w:top w:val="nil"/>
              <w:left w:val="nil"/>
              <w:bottom w:val="single" w:sz="4" w:space="0" w:color="auto"/>
              <w:right w:val="single" w:sz="4" w:space="0" w:color="auto"/>
            </w:tcBorders>
            <w:shd w:val="clear" w:color="auto" w:fill="auto"/>
            <w:hideMark/>
          </w:tcPr>
          <w:p w14:paraId="7B3DD88E" w14:textId="6AF12DB5"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The total amount of the diversification within components calculated using the full internal model. This amount should be negative</w:t>
            </w:r>
          </w:p>
        </w:tc>
      </w:tr>
      <w:tr w:rsidR="00436A56" w:rsidRPr="003D6737" w14:paraId="691BB475" w14:textId="77777777" w:rsidTr="003D6737">
        <w:trPr>
          <w:trHeight w:val="702"/>
        </w:trPr>
        <w:tc>
          <w:tcPr>
            <w:tcW w:w="1263" w:type="dxa"/>
            <w:tcBorders>
              <w:top w:val="nil"/>
              <w:left w:val="single" w:sz="4" w:space="0" w:color="auto"/>
              <w:bottom w:val="single" w:sz="4" w:space="0" w:color="auto"/>
              <w:right w:val="single" w:sz="4" w:space="0" w:color="auto"/>
            </w:tcBorders>
            <w:shd w:val="clear" w:color="auto" w:fill="auto"/>
          </w:tcPr>
          <w:p w14:paraId="5D170CD2" w14:textId="135D07F0" w:rsidR="00436A56" w:rsidRPr="003D6737" w:rsidRDefault="0005516C"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R0160/</w:t>
            </w:r>
            <w:r w:rsidR="00C67BE4" w:rsidRPr="003D6737">
              <w:rPr>
                <w:rFonts w:ascii="Times New Roman" w:eastAsia="Times New Roman" w:hAnsi="Times New Roman" w:cs="Times New Roman"/>
                <w:sz w:val="20"/>
                <w:szCs w:val="20"/>
                <w:lang w:val="en-GB" w:eastAsia="es-ES"/>
              </w:rPr>
              <w:t>C010</w:t>
            </w:r>
            <w:r w:rsidRPr="003D6737">
              <w:rPr>
                <w:rFonts w:ascii="Times New Roman" w:eastAsia="Times New Roman" w:hAnsi="Times New Roman" w:cs="Times New Roman"/>
                <w:sz w:val="20"/>
                <w:szCs w:val="20"/>
                <w:lang w:val="en-GB" w:eastAsia="es-ES"/>
              </w:rPr>
              <w:t>0</w:t>
            </w:r>
          </w:p>
          <w:p w14:paraId="180E6244" w14:textId="51A549CE" w:rsidR="0005516C" w:rsidRPr="003D6737" w:rsidDel="004E62DA" w:rsidRDefault="0005516C" w:rsidP="00436A56">
            <w:pPr>
              <w:spacing w:after="0" w:line="240" w:lineRule="auto"/>
              <w:rPr>
                <w:rFonts w:ascii="Times New Roman" w:eastAsia="Times New Roman" w:hAnsi="Times New Roman" w:cs="Times New Roman"/>
                <w:sz w:val="20"/>
                <w:szCs w:val="20"/>
                <w:lang w:val="en-GB" w:eastAsia="es-ES"/>
              </w:rPr>
            </w:pPr>
          </w:p>
        </w:tc>
        <w:tc>
          <w:tcPr>
            <w:tcW w:w="2672" w:type="dxa"/>
            <w:tcBorders>
              <w:top w:val="nil"/>
              <w:left w:val="nil"/>
              <w:bottom w:val="single" w:sz="4" w:space="0" w:color="auto"/>
              <w:right w:val="single" w:sz="4" w:space="0" w:color="auto"/>
            </w:tcBorders>
            <w:shd w:val="clear" w:color="auto" w:fill="auto"/>
          </w:tcPr>
          <w:p w14:paraId="7ADC8572" w14:textId="73064F10"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782" w:type="dxa"/>
            <w:gridSpan w:val="2"/>
            <w:tcBorders>
              <w:top w:val="nil"/>
              <w:left w:val="nil"/>
              <w:bottom w:val="single" w:sz="4" w:space="0" w:color="auto"/>
              <w:right w:val="single" w:sz="4" w:space="0" w:color="auto"/>
            </w:tcBorders>
            <w:shd w:val="clear" w:color="auto" w:fill="auto"/>
          </w:tcPr>
          <w:p w14:paraId="78F84FD6" w14:textId="37812078"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3D6737">
              <w:rPr>
                <w:rFonts w:ascii="Times New Roman" w:eastAsia="Times New Roman" w:hAnsi="Times New Roman" w:cs="Times New Roman"/>
                <w:sz w:val="20"/>
                <w:szCs w:val="20"/>
                <w:lang w:val="en-GB" w:eastAsia="es-ES"/>
              </w:rPr>
              <w:t xml:space="preserve"> to which transitional measures are applied. This item is be reported only during the transitional period.</w:t>
            </w:r>
          </w:p>
        </w:tc>
      </w:tr>
      <w:tr w:rsidR="00436A56" w:rsidRPr="003D6737" w14:paraId="59C88A58" w14:textId="77777777" w:rsidTr="007403C9">
        <w:trPr>
          <w:trHeight w:val="461"/>
        </w:trPr>
        <w:tc>
          <w:tcPr>
            <w:tcW w:w="1263" w:type="dxa"/>
            <w:tcBorders>
              <w:top w:val="nil"/>
              <w:left w:val="single" w:sz="4" w:space="0" w:color="auto"/>
              <w:bottom w:val="single" w:sz="4" w:space="0" w:color="auto"/>
              <w:right w:val="single" w:sz="4" w:space="0" w:color="auto"/>
            </w:tcBorders>
            <w:shd w:val="clear" w:color="auto" w:fill="FFFFFF" w:themeFill="background1"/>
          </w:tcPr>
          <w:p w14:paraId="300F257B" w14:textId="7352316E"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R0200/C0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01DB1CE" w14:textId="1E737B98"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Solvency capital requirement, excluding capital add-on</w:t>
            </w:r>
          </w:p>
        </w:tc>
        <w:tc>
          <w:tcPr>
            <w:tcW w:w="4782" w:type="dxa"/>
            <w:gridSpan w:val="2"/>
            <w:tcBorders>
              <w:top w:val="nil"/>
              <w:left w:val="nil"/>
              <w:bottom w:val="single" w:sz="4" w:space="0" w:color="auto"/>
              <w:right w:val="single" w:sz="4" w:space="0" w:color="auto"/>
            </w:tcBorders>
            <w:shd w:val="clear" w:color="auto" w:fill="FFFFFF" w:themeFill="background1"/>
          </w:tcPr>
          <w:p w14:paraId="1E3B08AD" w14:textId="008FE4F7"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total diversified SCR before any capital add-on.</w:t>
            </w:r>
          </w:p>
        </w:tc>
      </w:tr>
      <w:tr w:rsidR="00436A56" w:rsidRPr="003D6737" w14:paraId="4ABBB66C" w14:textId="77777777" w:rsidTr="007403C9">
        <w:trPr>
          <w:trHeight w:val="1142"/>
        </w:trPr>
        <w:tc>
          <w:tcPr>
            <w:tcW w:w="1263" w:type="dxa"/>
            <w:tcBorders>
              <w:top w:val="nil"/>
              <w:left w:val="single" w:sz="4" w:space="0" w:color="auto"/>
              <w:bottom w:val="single" w:sz="4" w:space="0" w:color="auto"/>
              <w:right w:val="single" w:sz="4" w:space="0" w:color="auto"/>
            </w:tcBorders>
            <w:shd w:val="clear" w:color="auto" w:fill="FFFFFF" w:themeFill="background1"/>
          </w:tcPr>
          <w:p w14:paraId="7D704654" w14:textId="223E14EB"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R0210/C0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7470817" w14:textId="652DC050"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Capital add-ons </w:t>
            </w:r>
            <w:r w:rsidR="00613EC0">
              <w:rPr>
                <w:rFonts w:ascii="Times New Roman" w:eastAsia="Times New Roman" w:hAnsi="Times New Roman" w:cs="Times New Roman"/>
                <w:sz w:val="20"/>
                <w:szCs w:val="20"/>
                <w:lang w:val="en-GB" w:eastAsia="es-ES"/>
              </w:rPr>
              <w:t>already set</w:t>
            </w:r>
          </w:p>
        </w:tc>
        <w:tc>
          <w:tcPr>
            <w:tcW w:w="4782" w:type="dxa"/>
            <w:gridSpan w:val="2"/>
            <w:tcBorders>
              <w:top w:val="nil"/>
              <w:left w:val="nil"/>
              <w:bottom w:val="single" w:sz="4" w:space="0" w:color="auto"/>
              <w:right w:val="single" w:sz="4" w:space="0" w:color="auto"/>
            </w:tcBorders>
            <w:shd w:val="clear" w:color="auto" w:fill="FFFFFF" w:themeFill="background1"/>
          </w:tcPr>
          <w:p w14:paraId="5B0E32B2" w14:textId="1BD55302"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tc>
      </w:tr>
      <w:tr w:rsidR="00436A56" w:rsidRPr="003D6737" w14:paraId="1BD5C52B" w14:textId="77777777" w:rsidTr="007403C9">
        <w:trPr>
          <w:trHeight w:val="283"/>
        </w:trPr>
        <w:tc>
          <w:tcPr>
            <w:tcW w:w="1263" w:type="dxa"/>
            <w:tcBorders>
              <w:top w:val="nil"/>
              <w:left w:val="single" w:sz="4" w:space="0" w:color="auto"/>
              <w:bottom w:val="single" w:sz="4" w:space="0" w:color="auto"/>
              <w:right w:val="single" w:sz="4" w:space="0" w:color="auto"/>
            </w:tcBorders>
            <w:shd w:val="clear" w:color="auto" w:fill="FFFFFF" w:themeFill="background1"/>
          </w:tcPr>
          <w:p w14:paraId="1E522C52" w14:textId="052B0116"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R0220/C0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17B0C85" w14:textId="5DD55007"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Solvency capital requirement </w:t>
            </w:r>
          </w:p>
        </w:tc>
        <w:tc>
          <w:tcPr>
            <w:tcW w:w="4782" w:type="dxa"/>
            <w:gridSpan w:val="2"/>
            <w:tcBorders>
              <w:top w:val="nil"/>
              <w:left w:val="nil"/>
              <w:bottom w:val="single" w:sz="4" w:space="0" w:color="auto"/>
              <w:right w:val="single" w:sz="4" w:space="0" w:color="auto"/>
            </w:tcBorders>
            <w:shd w:val="clear" w:color="auto" w:fill="FFFFFF" w:themeFill="background1"/>
          </w:tcPr>
          <w:p w14:paraId="789C3623" w14:textId="2B4F9373" w:rsidR="00436A56" w:rsidRPr="003D6737" w:rsidRDefault="00436A56" w:rsidP="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total SCR calculated using full internal model.</w:t>
            </w:r>
          </w:p>
        </w:tc>
      </w:tr>
      <w:tr w:rsidR="008751B8" w:rsidRPr="003D6737" w14:paraId="63B1304E" w14:textId="77777777" w:rsidTr="003D6737">
        <w:trPr>
          <w:gridAfter w:val="1"/>
          <w:wAfter w:w="74" w:type="dxa"/>
          <w:trHeight w:val="339"/>
        </w:trPr>
        <w:tc>
          <w:tcPr>
            <w:tcW w:w="8643" w:type="dxa"/>
            <w:gridSpan w:val="3"/>
            <w:shd w:val="clear" w:color="auto" w:fill="auto"/>
            <w:vAlign w:val="bottom"/>
          </w:tcPr>
          <w:p w14:paraId="4CD6B381" w14:textId="77777777" w:rsidR="008751B8" w:rsidRPr="003D6737" w:rsidRDefault="008751B8" w:rsidP="00672054">
            <w:pPr>
              <w:spacing w:after="0" w:line="240" w:lineRule="auto"/>
              <w:rPr>
                <w:rFonts w:ascii="Times New Roman" w:eastAsia="Times New Roman" w:hAnsi="Times New Roman" w:cs="Times New Roman"/>
                <w:b/>
                <w:sz w:val="20"/>
                <w:szCs w:val="20"/>
                <w:lang w:val="en-GB" w:eastAsia="es-ES"/>
              </w:rPr>
            </w:pPr>
            <w:r w:rsidRPr="003D6737">
              <w:rPr>
                <w:rFonts w:ascii="Times New Roman" w:eastAsia="Times New Roman" w:hAnsi="Times New Roman" w:cs="Times New Roman"/>
                <w:b/>
                <w:sz w:val="20"/>
                <w:szCs w:val="20"/>
                <w:lang w:val="en-GB" w:eastAsia="es-ES"/>
              </w:rPr>
              <w:t>Other information on SCR</w:t>
            </w:r>
          </w:p>
        </w:tc>
      </w:tr>
      <w:tr w:rsidR="00436A56" w:rsidRPr="003D6737" w14:paraId="134E9B61" w14:textId="261857B7" w:rsidTr="003D6737">
        <w:trPr>
          <w:trHeight w:val="1005"/>
        </w:trPr>
        <w:tc>
          <w:tcPr>
            <w:tcW w:w="1263" w:type="dxa"/>
            <w:tcBorders>
              <w:top w:val="nil"/>
              <w:left w:val="single" w:sz="4" w:space="0" w:color="auto"/>
              <w:bottom w:val="single" w:sz="4" w:space="0" w:color="auto"/>
              <w:right w:val="single" w:sz="4" w:space="0" w:color="auto"/>
            </w:tcBorders>
            <w:shd w:val="clear" w:color="auto" w:fill="FFFFFF" w:themeFill="background1"/>
          </w:tcPr>
          <w:p w14:paraId="7BC2F65C" w14:textId="51E4F4AC" w:rsidR="00436A56" w:rsidRPr="003D6737" w:rsidRDefault="00436A5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R0300/C0</w:t>
            </w:r>
            <w:r w:rsidR="008751B8"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FFFFFF" w:themeFill="background1"/>
            <w:hideMark/>
          </w:tcPr>
          <w:p w14:paraId="01723138" w14:textId="78D52459"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782" w:type="dxa"/>
            <w:gridSpan w:val="2"/>
            <w:tcBorders>
              <w:top w:val="nil"/>
              <w:left w:val="nil"/>
              <w:bottom w:val="single" w:sz="4" w:space="0" w:color="auto"/>
              <w:right w:val="single" w:sz="4" w:space="0" w:color="auto"/>
            </w:tcBorders>
            <w:shd w:val="clear" w:color="auto" w:fill="FFFFFF" w:themeFill="background1"/>
            <w:hideMark/>
          </w:tcPr>
          <w:p w14:paraId="14D6E652" w14:textId="44057E1D"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sidRPr="003D6737">
              <w:rPr>
                <w:rFonts w:ascii="Times New Roman" w:eastAsia="Times New Roman" w:hAnsi="Times New Roman" w:cs="Times New Roman"/>
                <w:sz w:val="20"/>
                <w:szCs w:val="20"/>
                <w:lang w:val="en-GB" w:eastAsia="es-ES"/>
              </w:rPr>
              <w:t xml:space="preserve">in each component </w:t>
            </w:r>
            <w:r w:rsidRPr="003D6737">
              <w:rPr>
                <w:rFonts w:ascii="Times New Roman" w:eastAsia="Times New Roman" w:hAnsi="Times New Roman" w:cs="Times New Roman"/>
                <w:sz w:val="20"/>
                <w:szCs w:val="20"/>
                <w:lang w:val="en-GB" w:eastAsia="es-ES"/>
              </w:rPr>
              <w:t>and the part reported as a single component.</w:t>
            </w:r>
          </w:p>
        </w:tc>
      </w:tr>
      <w:tr w:rsidR="00436A56" w:rsidRPr="003D6737" w14:paraId="3351E4BD" w14:textId="0051B862" w:rsidTr="007403C9">
        <w:trPr>
          <w:trHeight w:val="741"/>
        </w:trPr>
        <w:tc>
          <w:tcPr>
            <w:tcW w:w="1263" w:type="dxa"/>
            <w:tcBorders>
              <w:top w:val="nil"/>
              <w:left w:val="single" w:sz="4" w:space="0" w:color="auto"/>
              <w:bottom w:val="single" w:sz="4" w:space="0" w:color="auto"/>
              <w:right w:val="single" w:sz="4" w:space="0" w:color="auto"/>
            </w:tcBorders>
            <w:shd w:val="clear" w:color="auto" w:fill="FFFFFF" w:themeFill="background1"/>
          </w:tcPr>
          <w:p w14:paraId="49AB9112" w14:textId="578B3A0F" w:rsidR="00436A56" w:rsidRPr="003D6737" w:rsidRDefault="00436A5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R0310/C0</w:t>
            </w:r>
            <w:r w:rsidR="008751B8"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FFFFFF" w:themeFill="background1"/>
            <w:hideMark/>
          </w:tcPr>
          <w:p w14:paraId="55E943E8" w14:textId="38C79DDC"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Amount/estimate of the overall loss-absorbing capacity of deferred taxes</w:t>
            </w:r>
          </w:p>
        </w:tc>
        <w:tc>
          <w:tcPr>
            <w:tcW w:w="4782" w:type="dxa"/>
            <w:gridSpan w:val="2"/>
            <w:tcBorders>
              <w:top w:val="nil"/>
              <w:left w:val="nil"/>
              <w:bottom w:val="single" w:sz="4" w:space="0" w:color="auto"/>
              <w:right w:val="single" w:sz="4" w:space="0" w:color="auto"/>
            </w:tcBorders>
            <w:shd w:val="clear" w:color="auto" w:fill="FFFFFF" w:themeFill="background1"/>
            <w:hideMark/>
          </w:tcPr>
          <w:p w14:paraId="70DEEDB3" w14:textId="5F4FD2D0"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sidRPr="003D6737">
              <w:rPr>
                <w:rFonts w:ascii="Times New Roman" w:eastAsia="Times New Roman" w:hAnsi="Times New Roman" w:cs="Times New Roman"/>
                <w:sz w:val="20"/>
                <w:szCs w:val="20"/>
                <w:lang w:val="en-GB" w:eastAsia="es-ES"/>
              </w:rPr>
              <w:t xml:space="preserve">in each component </w:t>
            </w:r>
            <w:r w:rsidRPr="003D6737">
              <w:rPr>
                <w:rFonts w:ascii="Times New Roman" w:eastAsia="Times New Roman" w:hAnsi="Times New Roman" w:cs="Times New Roman"/>
                <w:sz w:val="20"/>
                <w:szCs w:val="20"/>
                <w:lang w:val="en-GB" w:eastAsia="es-ES"/>
              </w:rPr>
              <w:t>and the part reported as a single component.</w:t>
            </w:r>
          </w:p>
        </w:tc>
      </w:tr>
      <w:tr w:rsidR="008751B8" w:rsidRPr="003D6737" w14:paraId="28E24F0D"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88DE9B4" w14:textId="133F278B"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w:t>
            </w:r>
            <w:r w:rsidR="006C2F90" w:rsidRPr="003D6737">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r w:rsidR="00C67BE4" w:rsidRPr="003D6737">
              <w:rPr>
                <w:rFonts w:ascii="Times New Roman" w:eastAsia="Times New Roman" w:hAnsi="Times New Roman" w:cs="Times New Roman"/>
                <w:sz w:val="20"/>
                <w:szCs w:val="20"/>
                <w:lang w:val="en-GB" w:eastAsia="es-ES"/>
              </w:rPr>
              <w:t>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674B601A" w14:textId="42DAF0FF" w:rsidR="008751B8" w:rsidRPr="003D6737" w:rsidRDefault="008751B8" w:rsidP="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(B14AA)</w:t>
            </w:r>
          </w:p>
        </w:tc>
        <w:tc>
          <w:tcPr>
            <w:tcW w:w="2672" w:type="dxa"/>
            <w:tcBorders>
              <w:top w:val="single" w:sz="4" w:space="0" w:color="auto"/>
              <w:left w:val="nil"/>
              <w:bottom w:val="single" w:sz="4" w:space="0" w:color="auto"/>
              <w:right w:val="single" w:sz="4" w:space="0" w:color="auto"/>
            </w:tcBorders>
            <w:shd w:val="clear" w:color="auto" w:fill="auto"/>
          </w:tcPr>
          <w:p w14:paraId="51B2AABF" w14:textId="77777777" w:rsidR="008751B8" w:rsidRPr="003D6737"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82" w:type="dxa"/>
            <w:gridSpan w:val="2"/>
            <w:tcBorders>
              <w:top w:val="single" w:sz="4" w:space="0" w:color="auto"/>
              <w:left w:val="nil"/>
              <w:bottom w:val="single" w:sz="4" w:space="0" w:color="auto"/>
              <w:right w:val="single" w:sz="4" w:space="0" w:color="auto"/>
            </w:tcBorders>
            <w:shd w:val="clear" w:color="auto" w:fill="auto"/>
          </w:tcPr>
          <w:p w14:paraId="4E4D5167" w14:textId="73332030"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notional SCRs of remaining part when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has RFF. </w:t>
            </w:r>
          </w:p>
          <w:p w14:paraId="0738CB77" w14:textId="58DB85F6" w:rsidR="008751B8" w:rsidRPr="003D6737" w:rsidRDefault="003D6737" w:rsidP="00672054">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br/>
              <w:t xml:space="preserve"> </w:t>
            </w:r>
          </w:p>
        </w:tc>
      </w:tr>
      <w:tr w:rsidR="008751B8" w:rsidRPr="003D6737" w14:paraId="1F29A80F"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3E6F0446" w14:textId="78DCCE05"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w:t>
            </w:r>
            <w:r w:rsidR="006C2F90" w:rsidRPr="003D6737">
              <w:rPr>
                <w:rFonts w:ascii="Times New Roman" w:eastAsia="Times New Roman" w:hAnsi="Times New Roman" w:cs="Times New Roman"/>
                <w:sz w:val="20"/>
                <w:szCs w:val="20"/>
                <w:lang w:val="en-GB" w:eastAsia="es-ES"/>
              </w:rPr>
              <w:t>41</w:t>
            </w:r>
            <w:r w:rsidRPr="003D6737">
              <w:rPr>
                <w:rFonts w:ascii="Times New Roman" w:eastAsia="Times New Roman" w:hAnsi="Times New Roman" w:cs="Times New Roman"/>
                <w:sz w:val="20"/>
                <w:szCs w:val="20"/>
                <w:lang w:val="en-GB" w:eastAsia="es-ES"/>
              </w:rPr>
              <w:t>0/C0</w:t>
            </w:r>
            <w:r w:rsidR="00C67BE4"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4403BE02" w14:textId="12360D23"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(B14)</w:t>
            </w:r>
          </w:p>
        </w:tc>
        <w:tc>
          <w:tcPr>
            <w:tcW w:w="2672" w:type="dxa"/>
            <w:tcBorders>
              <w:top w:val="single" w:sz="4" w:space="0" w:color="auto"/>
              <w:left w:val="nil"/>
              <w:bottom w:val="single" w:sz="4" w:space="0" w:color="auto"/>
              <w:right w:val="single" w:sz="4" w:space="0" w:color="auto"/>
            </w:tcBorders>
            <w:shd w:val="clear" w:color="auto" w:fill="auto"/>
          </w:tcPr>
          <w:p w14:paraId="5E9D1EA1" w14:textId="77777777"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82" w:type="dxa"/>
            <w:gridSpan w:val="2"/>
            <w:tcBorders>
              <w:top w:val="single" w:sz="4" w:space="0" w:color="auto"/>
              <w:left w:val="nil"/>
              <w:bottom w:val="single" w:sz="4" w:space="0" w:color="auto"/>
              <w:right w:val="single" w:sz="4" w:space="0" w:color="auto"/>
            </w:tcBorders>
            <w:shd w:val="clear" w:color="auto" w:fill="auto"/>
          </w:tcPr>
          <w:p w14:paraId="4CACE067" w14:textId="02011847" w:rsidR="008751B8" w:rsidRPr="003D6737" w:rsidRDefault="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sum of notional SCRs of all ring-fenced funds when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has RFF. </w:t>
            </w:r>
            <w:r w:rsidRPr="003D6737">
              <w:rPr>
                <w:rFonts w:ascii="Times New Roman" w:eastAsia="Times New Roman" w:hAnsi="Times New Roman" w:cs="Times New Roman"/>
                <w:sz w:val="20"/>
                <w:szCs w:val="20"/>
                <w:lang w:val="en-GB" w:eastAsia="es-ES"/>
              </w:rPr>
              <w:br/>
            </w:r>
            <w:r w:rsidRPr="003D6737">
              <w:rPr>
                <w:rFonts w:ascii="Times New Roman" w:eastAsia="Times New Roman" w:hAnsi="Times New Roman" w:cs="Times New Roman"/>
                <w:sz w:val="20"/>
                <w:szCs w:val="20"/>
                <w:lang w:val="en-GB" w:eastAsia="es-ES"/>
              </w:rPr>
              <w:br/>
            </w:r>
          </w:p>
        </w:tc>
      </w:tr>
      <w:tr w:rsidR="00436A56" w:rsidRPr="003D6737" w14:paraId="7230DFC7" w14:textId="77777777" w:rsidTr="003D6737">
        <w:trPr>
          <w:trHeight w:val="949"/>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E63D64E" w14:textId="49D87D71" w:rsidR="00436A56" w:rsidRPr="003D6737" w:rsidDel="002E2864" w:rsidRDefault="00235CA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R0420/C0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tcPr>
          <w:p w14:paraId="47213F8F" w14:textId="45B7D935"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portfolios</w:t>
            </w:r>
          </w:p>
        </w:tc>
        <w:tc>
          <w:tcPr>
            <w:tcW w:w="4782" w:type="dxa"/>
            <w:gridSpan w:val="2"/>
            <w:tcBorders>
              <w:top w:val="single" w:sz="4" w:space="0" w:color="auto"/>
              <w:left w:val="nil"/>
              <w:bottom w:val="single" w:sz="4" w:space="0" w:color="auto"/>
              <w:right w:val="single" w:sz="4" w:space="0" w:color="auto"/>
            </w:tcBorders>
            <w:shd w:val="clear" w:color="auto" w:fill="auto"/>
          </w:tcPr>
          <w:p w14:paraId="4476C5EC" w14:textId="39148E43"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sum of notional SCRs of all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portfolios</w:t>
            </w:r>
            <w:r w:rsidR="00235CA6" w:rsidRPr="003D6737">
              <w:rPr>
                <w:rFonts w:ascii="Times New Roman" w:eastAsia="Times New Roman" w:hAnsi="Times New Roman" w:cs="Times New Roman"/>
                <w:sz w:val="20"/>
                <w:szCs w:val="20"/>
                <w:lang w:val="en-GB" w:eastAsia="es-ES"/>
              </w:rPr>
              <w:t>.</w:t>
            </w:r>
            <w:r w:rsidRPr="003D6737">
              <w:rPr>
                <w:rFonts w:ascii="Times New Roman" w:eastAsia="Times New Roman" w:hAnsi="Times New Roman" w:cs="Times New Roman"/>
                <w:sz w:val="20"/>
                <w:szCs w:val="20"/>
                <w:lang w:val="en-GB" w:eastAsia="es-ES"/>
              </w:rPr>
              <w:t xml:space="preserve"> </w:t>
            </w:r>
          </w:p>
          <w:p w14:paraId="619026E4" w14:textId="0989D582" w:rsidR="00436A56" w:rsidRPr="003D6737" w:rsidRDefault="00436A56" w:rsidP="006C2F90">
            <w:pPr>
              <w:spacing w:after="0" w:line="240" w:lineRule="auto"/>
              <w:rPr>
                <w:rFonts w:ascii="Times New Roman" w:eastAsia="Times New Roman" w:hAnsi="Times New Roman" w:cs="Times New Roman"/>
                <w:sz w:val="20"/>
                <w:szCs w:val="20"/>
                <w:lang w:val="en-GB" w:eastAsia="es-ES"/>
              </w:rPr>
            </w:pPr>
          </w:p>
        </w:tc>
      </w:tr>
      <w:tr w:rsidR="00235CA6" w:rsidRPr="003D6737" w14:paraId="662EA1E0" w14:textId="77777777" w:rsidTr="003D6737">
        <w:trPr>
          <w:trHeight w:val="780"/>
        </w:trPr>
        <w:tc>
          <w:tcPr>
            <w:tcW w:w="1263" w:type="dxa"/>
            <w:tcBorders>
              <w:top w:val="nil"/>
              <w:left w:val="single" w:sz="4" w:space="0" w:color="auto"/>
              <w:bottom w:val="single" w:sz="4" w:space="0" w:color="auto"/>
              <w:right w:val="single" w:sz="4" w:space="0" w:color="auto"/>
            </w:tcBorders>
            <w:shd w:val="clear" w:color="auto" w:fill="auto"/>
          </w:tcPr>
          <w:p w14:paraId="3970D855" w14:textId="115139FC" w:rsidR="00235CA6" w:rsidRPr="003D6737" w:rsidRDefault="00235CA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R0430/C0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tcPr>
          <w:p w14:paraId="39281277" w14:textId="30A8E387"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Diversification effects due to RFF nSCR aggregation for </w:t>
            </w:r>
            <w:r w:rsidR="003D6737">
              <w:rPr>
                <w:rFonts w:ascii="Times New Roman" w:eastAsia="Times New Roman" w:hAnsi="Times New Roman" w:cs="Times New Roman"/>
                <w:sz w:val="20"/>
                <w:szCs w:val="20"/>
                <w:lang w:val="en-GB" w:eastAsia="es-ES"/>
              </w:rPr>
              <w:t>Article</w:t>
            </w:r>
            <w:r w:rsidRPr="003D6737">
              <w:rPr>
                <w:rFonts w:ascii="Times New Roman" w:eastAsia="Times New Roman" w:hAnsi="Times New Roman" w:cs="Times New Roman"/>
                <w:sz w:val="20"/>
                <w:szCs w:val="20"/>
                <w:lang w:val="en-GB" w:eastAsia="es-ES"/>
              </w:rPr>
              <w:t xml:space="preserve"> 304</w:t>
            </w:r>
          </w:p>
        </w:tc>
        <w:tc>
          <w:tcPr>
            <w:tcW w:w="4782" w:type="dxa"/>
            <w:gridSpan w:val="2"/>
            <w:tcBorders>
              <w:top w:val="nil"/>
              <w:left w:val="nil"/>
              <w:bottom w:val="single" w:sz="4" w:space="0" w:color="auto"/>
              <w:right w:val="single" w:sz="4" w:space="0" w:color="auto"/>
            </w:tcBorders>
            <w:shd w:val="clear" w:color="000000" w:fill="FFFFFF"/>
          </w:tcPr>
          <w:p w14:paraId="3C0BD49A" w14:textId="106338D5"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adjustment for a diversification effect between ring fenced funds under article 304 and </w:t>
            </w:r>
            <w:r w:rsidRPr="003D6737">
              <w:rPr>
                <w:rFonts w:ascii="Times New Roman" w:eastAsia="Times New Roman" w:hAnsi="Times New Roman" w:cs="Times New Roman"/>
                <w:strike/>
                <w:color w:val="C00000"/>
                <w:sz w:val="20"/>
                <w:szCs w:val="20"/>
                <w:lang w:val="en-GB" w:eastAsia="es-ES"/>
              </w:rPr>
              <w:t xml:space="preserve">  </w:t>
            </w:r>
            <w:r w:rsidRPr="003D6737">
              <w:rPr>
                <w:rFonts w:ascii="Times New Roman" w:eastAsia="Times New Roman" w:hAnsi="Times New Roman" w:cs="Times New Roman"/>
                <w:sz w:val="20"/>
                <w:szCs w:val="20"/>
                <w:lang w:val="en-GB" w:eastAsia="es-ES"/>
              </w:rPr>
              <w:t>remaining part</w:t>
            </w:r>
            <w:r w:rsidR="00A32F71" w:rsidRPr="003D6737">
              <w:rPr>
                <w:rFonts w:ascii="Times New Roman" w:eastAsia="Times New Roman" w:hAnsi="Times New Roman" w:cs="Times New Roman"/>
                <w:sz w:val="20"/>
                <w:szCs w:val="20"/>
                <w:lang w:val="en-GB" w:eastAsia="es-ES"/>
              </w:rPr>
              <w:t xml:space="preserve"> where applicable</w:t>
            </w:r>
            <w:r w:rsidRPr="003D6737">
              <w:rPr>
                <w:rFonts w:ascii="Times New Roman" w:eastAsia="Times New Roman" w:hAnsi="Times New Roman" w:cs="Times New Roman"/>
                <w:sz w:val="20"/>
                <w:szCs w:val="20"/>
                <w:lang w:val="en-GB" w:eastAsia="es-ES"/>
              </w:rPr>
              <w:t xml:space="preserve">. </w:t>
            </w:r>
          </w:p>
          <w:p w14:paraId="5159340C" w14:textId="29AF08A6"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p>
        </w:tc>
      </w:tr>
      <w:tr w:rsidR="00235CA6" w:rsidRPr="003D6737" w14:paraId="635FF570" w14:textId="77777777" w:rsidTr="003D6737">
        <w:trPr>
          <w:trHeight w:val="795"/>
        </w:trPr>
        <w:tc>
          <w:tcPr>
            <w:tcW w:w="1263" w:type="dxa"/>
            <w:tcBorders>
              <w:top w:val="nil"/>
              <w:left w:val="single" w:sz="4" w:space="0" w:color="auto"/>
              <w:bottom w:val="single" w:sz="4" w:space="0" w:color="auto"/>
              <w:right w:val="single" w:sz="4" w:space="0" w:color="auto"/>
            </w:tcBorders>
            <w:shd w:val="clear" w:color="auto" w:fill="auto"/>
            <w:hideMark/>
          </w:tcPr>
          <w:p w14:paraId="2DCB08E5" w14:textId="742A3B88"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w:t>
            </w:r>
            <w:r w:rsidR="006C2F90" w:rsidRPr="003D6737">
              <w:rPr>
                <w:rFonts w:ascii="Times New Roman" w:eastAsia="Times New Roman" w:hAnsi="Times New Roman" w:cs="Times New Roman"/>
                <w:sz w:val="20"/>
                <w:szCs w:val="20"/>
                <w:lang w:val="en-GB" w:eastAsia="es-ES"/>
              </w:rPr>
              <w:t>46</w:t>
            </w:r>
            <w:r w:rsidRPr="003D6737">
              <w:rPr>
                <w:rFonts w:ascii="Times New Roman" w:eastAsia="Times New Roman" w:hAnsi="Times New Roman" w:cs="Times New Roman"/>
                <w:sz w:val="20"/>
                <w:szCs w:val="20"/>
                <w:lang w:val="en-GB" w:eastAsia="es-ES"/>
              </w:rPr>
              <w:t>0/C0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69A77DCE" w14:textId="0F8746C3" w:rsidR="006C2F90" w:rsidRPr="003D6737" w:rsidRDefault="006C2F90"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(A11B)</w:t>
            </w:r>
          </w:p>
        </w:tc>
        <w:tc>
          <w:tcPr>
            <w:tcW w:w="2672" w:type="dxa"/>
            <w:tcBorders>
              <w:top w:val="nil"/>
              <w:left w:val="nil"/>
              <w:bottom w:val="single" w:sz="4" w:space="0" w:color="auto"/>
              <w:right w:val="single" w:sz="4" w:space="0" w:color="auto"/>
            </w:tcBorders>
            <w:shd w:val="clear" w:color="auto" w:fill="auto"/>
            <w:hideMark/>
          </w:tcPr>
          <w:p w14:paraId="599240B2" w14:textId="77777777"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Net  future discretionary benefits </w:t>
            </w:r>
          </w:p>
        </w:tc>
        <w:tc>
          <w:tcPr>
            <w:tcW w:w="4782" w:type="dxa"/>
            <w:gridSpan w:val="2"/>
            <w:tcBorders>
              <w:top w:val="nil"/>
              <w:left w:val="nil"/>
              <w:bottom w:val="single" w:sz="4" w:space="0" w:color="auto"/>
              <w:right w:val="single" w:sz="4" w:space="0" w:color="auto"/>
            </w:tcBorders>
            <w:shd w:val="clear" w:color="auto" w:fill="auto"/>
            <w:hideMark/>
          </w:tcPr>
          <w:p w14:paraId="5AC8C5FA" w14:textId="78AF0E16"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tc>
      </w:tr>
      <w:tr w:rsidR="00D8412A" w:rsidRPr="003D6737" w14:paraId="6A2BC3A3"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0D4B3FE8" w14:textId="133AB916"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R0470/C01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1ADF6181"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(A21)</w:t>
            </w:r>
          </w:p>
        </w:tc>
        <w:tc>
          <w:tcPr>
            <w:tcW w:w="2672" w:type="dxa"/>
            <w:tcBorders>
              <w:top w:val="nil"/>
              <w:left w:val="nil"/>
              <w:bottom w:val="single" w:sz="4" w:space="0" w:color="auto"/>
              <w:right w:val="single" w:sz="4" w:space="0" w:color="auto"/>
            </w:tcBorders>
            <w:shd w:val="clear" w:color="auto" w:fill="auto"/>
            <w:hideMark/>
          </w:tcPr>
          <w:p w14:paraId="06AC4A83"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Minimum consolidated group solvency capital requirement</w:t>
            </w:r>
          </w:p>
        </w:tc>
        <w:tc>
          <w:tcPr>
            <w:tcW w:w="4782" w:type="dxa"/>
            <w:gridSpan w:val="2"/>
            <w:tcBorders>
              <w:top w:val="nil"/>
              <w:left w:val="nil"/>
              <w:bottom w:val="single" w:sz="4" w:space="0" w:color="auto"/>
              <w:right w:val="single" w:sz="4" w:space="0" w:color="auto"/>
            </w:tcBorders>
            <w:shd w:val="clear" w:color="auto" w:fill="auto"/>
            <w:hideMark/>
          </w:tcPr>
          <w:p w14:paraId="1AB3435B"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D8412A" w:rsidRPr="003D6737" w14:paraId="3EA2F4F6"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2BFD2C4B" w14:textId="4EDB2B0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R0500/C01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2A98F83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w:t>
            </w:r>
          </w:p>
        </w:tc>
        <w:tc>
          <w:tcPr>
            <w:tcW w:w="2672" w:type="dxa"/>
            <w:tcBorders>
              <w:top w:val="nil"/>
              <w:left w:val="nil"/>
              <w:bottom w:val="single" w:sz="4" w:space="0" w:color="auto"/>
              <w:right w:val="single" w:sz="4" w:space="0" w:color="auto"/>
            </w:tcBorders>
            <w:shd w:val="clear" w:color="auto" w:fill="auto"/>
            <w:hideMark/>
          </w:tcPr>
          <w:p w14:paraId="49761317"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w:t>
            </w:r>
          </w:p>
        </w:tc>
        <w:tc>
          <w:tcPr>
            <w:tcW w:w="4782" w:type="dxa"/>
            <w:gridSpan w:val="2"/>
            <w:tcBorders>
              <w:top w:val="nil"/>
              <w:left w:val="nil"/>
              <w:bottom w:val="single" w:sz="4" w:space="0" w:color="auto"/>
              <w:right w:val="single" w:sz="4" w:space="0" w:color="auto"/>
            </w:tcBorders>
            <w:shd w:val="clear" w:color="auto" w:fill="auto"/>
            <w:hideMark/>
          </w:tcPr>
          <w:p w14:paraId="51C74866"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other financial sectors. </w:t>
            </w:r>
          </w:p>
          <w:p w14:paraId="6531523C"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302CB831" w14:textId="497507EA"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3D6737">
              <w:rPr>
                <w:rFonts w:ascii="Times New Roman" w:eastAsia="Times New Roman" w:hAnsi="Times New Roman" w:cs="Times New Roman"/>
                <w:sz w:val="20"/>
                <w:szCs w:val="20"/>
                <w:lang w:val="en-GB" w:eastAsia="es-ES"/>
              </w:rPr>
              <w:t xml:space="preserve"> the appropriate requirements. </w:t>
            </w:r>
          </w:p>
        </w:tc>
      </w:tr>
      <w:tr w:rsidR="00D8412A" w:rsidRPr="003D6737" w14:paraId="130370CD"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0C9C4DF3" w14:textId="490E818F"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R0510/C01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636708D1"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(A15A)</w:t>
            </w:r>
          </w:p>
        </w:tc>
        <w:tc>
          <w:tcPr>
            <w:tcW w:w="2672" w:type="dxa"/>
            <w:tcBorders>
              <w:top w:val="nil"/>
              <w:left w:val="nil"/>
              <w:bottom w:val="single" w:sz="4" w:space="0" w:color="auto"/>
              <w:right w:val="single" w:sz="4" w:space="0" w:color="auto"/>
            </w:tcBorders>
            <w:shd w:val="clear" w:color="auto" w:fill="auto"/>
            <w:hideMark/>
          </w:tcPr>
          <w:p w14:paraId="02CA13D8"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82" w:type="dxa"/>
            <w:gridSpan w:val="2"/>
            <w:tcBorders>
              <w:top w:val="nil"/>
              <w:left w:val="nil"/>
              <w:bottom w:val="single" w:sz="4" w:space="0" w:color="auto"/>
              <w:right w:val="single" w:sz="4" w:space="0" w:color="auto"/>
            </w:tcBorders>
            <w:shd w:val="clear" w:color="auto" w:fill="auto"/>
            <w:hideMark/>
          </w:tcPr>
          <w:p w14:paraId="1D67F7C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38982FA9"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79D59D60" w14:textId="52B22401"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w:t>
            </w:r>
            <w:r w:rsidR="003D6737">
              <w:rPr>
                <w:rFonts w:ascii="Times New Roman" w:eastAsia="Times New Roman" w:hAnsi="Times New Roman" w:cs="Times New Roman"/>
                <w:sz w:val="20"/>
                <w:szCs w:val="20"/>
                <w:lang w:val="en-GB" w:eastAsia="es-ES"/>
              </w:rPr>
              <w:t>th the relevant sectoral rules.</w:t>
            </w:r>
          </w:p>
        </w:tc>
      </w:tr>
      <w:tr w:rsidR="00D8412A" w:rsidRPr="003D6737" w14:paraId="31BA1568" w14:textId="77777777" w:rsidTr="007403C9">
        <w:trPr>
          <w:trHeight w:val="567"/>
        </w:trPr>
        <w:tc>
          <w:tcPr>
            <w:tcW w:w="1263" w:type="dxa"/>
            <w:tcBorders>
              <w:top w:val="nil"/>
              <w:left w:val="single" w:sz="4" w:space="0" w:color="auto"/>
              <w:bottom w:val="single" w:sz="4" w:space="0" w:color="auto"/>
              <w:right w:val="single" w:sz="4" w:space="0" w:color="auto"/>
            </w:tcBorders>
            <w:shd w:val="clear" w:color="auto" w:fill="auto"/>
            <w:hideMark/>
          </w:tcPr>
          <w:p w14:paraId="060B24CB" w14:textId="4C8D38DE"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R0520/C01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748F3BB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(A15B)</w:t>
            </w:r>
          </w:p>
        </w:tc>
        <w:tc>
          <w:tcPr>
            <w:tcW w:w="2672" w:type="dxa"/>
            <w:tcBorders>
              <w:top w:val="nil"/>
              <w:left w:val="nil"/>
              <w:bottom w:val="single" w:sz="4" w:space="0" w:color="auto"/>
              <w:right w:val="single" w:sz="4" w:space="0" w:color="auto"/>
            </w:tcBorders>
            <w:shd w:val="clear" w:color="auto" w:fill="auto"/>
            <w:hideMark/>
          </w:tcPr>
          <w:p w14:paraId="35F1B4C4"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782" w:type="dxa"/>
            <w:gridSpan w:val="2"/>
            <w:tcBorders>
              <w:top w:val="nil"/>
              <w:left w:val="nil"/>
              <w:bottom w:val="single" w:sz="4" w:space="0" w:color="auto"/>
              <w:right w:val="single" w:sz="4" w:space="0" w:color="auto"/>
            </w:tcBorders>
            <w:shd w:val="clear" w:color="auto" w:fill="auto"/>
            <w:hideMark/>
          </w:tcPr>
          <w:p w14:paraId="14B0975A"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55AB0A7F"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1DBE89D3" w14:textId="68B4E1D9"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3D6737">
              <w:rPr>
                <w:rFonts w:ascii="Times New Roman" w:eastAsia="Times New Roman" w:hAnsi="Times New Roman" w:cs="Times New Roman"/>
                <w:sz w:val="20"/>
                <w:szCs w:val="20"/>
                <w:lang w:val="en-GB" w:eastAsia="es-ES"/>
              </w:rPr>
              <w:t>h the relevant sectoral rules.</w:t>
            </w:r>
          </w:p>
        </w:tc>
      </w:tr>
      <w:tr w:rsidR="00D8412A" w:rsidRPr="003D6737" w14:paraId="7827F507"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4AD401A2" w14:textId="60CB8865"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R0530/C01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424F8F4D"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(A15C)</w:t>
            </w:r>
          </w:p>
        </w:tc>
        <w:tc>
          <w:tcPr>
            <w:tcW w:w="2672" w:type="dxa"/>
            <w:tcBorders>
              <w:top w:val="nil"/>
              <w:left w:val="nil"/>
              <w:bottom w:val="single" w:sz="4" w:space="0" w:color="auto"/>
              <w:right w:val="single" w:sz="4" w:space="0" w:color="auto"/>
            </w:tcBorders>
            <w:shd w:val="clear" w:color="auto" w:fill="auto"/>
            <w:hideMark/>
          </w:tcPr>
          <w:p w14:paraId="01394296"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782" w:type="dxa"/>
            <w:gridSpan w:val="2"/>
            <w:tcBorders>
              <w:top w:val="nil"/>
              <w:left w:val="nil"/>
              <w:bottom w:val="single" w:sz="4" w:space="0" w:color="auto"/>
              <w:right w:val="single" w:sz="4" w:space="0" w:color="auto"/>
            </w:tcBorders>
            <w:shd w:val="clear" w:color="auto" w:fill="auto"/>
            <w:hideMark/>
          </w:tcPr>
          <w:p w14:paraId="0CBC1E28"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capital requirement for non-regulated entities carrying out financial activities. This figure represents a notional solvency requirement, calculated if the relevant sectoral rules were to be applied.</w:t>
            </w:r>
          </w:p>
          <w:p w14:paraId="27DD97B6"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7B11E26A" w14:textId="5A7D1031"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undertakings which are non - regulated entities carr</w:t>
            </w:r>
            <w:r w:rsidR="003D6737">
              <w:rPr>
                <w:rFonts w:ascii="Times New Roman" w:eastAsia="Times New Roman" w:hAnsi="Times New Roman" w:cs="Times New Roman"/>
                <w:sz w:val="20"/>
                <w:szCs w:val="20"/>
                <w:lang w:val="en-GB" w:eastAsia="es-ES"/>
              </w:rPr>
              <w:t xml:space="preserve">ying out financial activities. </w:t>
            </w:r>
          </w:p>
        </w:tc>
      </w:tr>
      <w:tr w:rsidR="00D8412A" w:rsidRPr="003D6737" w14:paraId="79577A80"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2FF00102" w14:textId="7B3C6C2B"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R0540/C01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p w14:paraId="2563801F"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(A16)</w:t>
            </w:r>
          </w:p>
        </w:tc>
        <w:tc>
          <w:tcPr>
            <w:tcW w:w="2672" w:type="dxa"/>
            <w:tcBorders>
              <w:top w:val="nil"/>
              <w:left w:val="nil"/>
              <w:bottom w:val="single" w:sz="4" w:space="0" w:color="auto"/>
              <w:right w:val="single" w:sz="4" w:space="0" w:color="auto"/>
            </w:tcBorders>
            <w:shd w:val="clear" w:color="auto" w:fill="auto"/>
            <w:hideMark/>
          </w:tcPr>
          <w:p w14:paraId="7536E94B"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non-controlled participation requirements</w:t>
            </w:r>
          </w:p>
        </w:tc>
        <w:tc>
          <w:tcPr>
            <w:tcW w:w="4782" w:type="dxa"/>
            <w:gridSpan w:val="2"/>
            <w:tcBorders>
              <w:top w:val="nil"/>
              <w:left w:val="nil"/>
              <w:bottom w:val="single" w:sz="4" w:space="0" w:color="auto"/>
              <w:right w:val="single" w:sz="4" w:space="0" w:color="auto"/>
            </w:tcBorders>
            <w:shd w:val="clear" w:color="auto" w:fill="auto"/>
            <w:hideMark/>
          </w:tcPr>
          <w:p w14:paraId="56A0DFC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74B4AC2D"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388FA270" w14:textId="0AE30E88"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D8412A" w:rsidRPr="003D6737" w14:paraId="1B8AFCD8" w14:textId="77777777" w:rsidTr="007403C9">
        <w:trPr>
          <w:trHeight w:val="602"/>
        </w:trPr>
        <w:tc>
          <w:tcPr>
            <w:tcW w:w="1263" w:type="dxa"/>
            <w:tcBorders>
              <w:top w:val="nil"/>
              <w:left w:val="single" w:sz="4" w:space="0" w:color="auto"/>
              <w:bottom w:val="single" w:sz="4" w:space="0" w:color="auto"/>
              <w:right w:val="single" w:sz="4" w:space="0" w:color="auto"/>
            </w:tcBorders>
            <w:shd w:val="clear" w:color="auto" w:fill="auto"/>
            <w:hideMark/>
          </w:tcPr>
          <w:p w14:paraId="2C037C35" w14:textId="580EB9E3" w:rsidR="00C67BE4" w:rsidRPr="003D6737" w:rsidRDefault="00C67BE4"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R0550/C01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1CC0D2E6"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residual undertakings</w:t>
            </w:r>
          </w:p>
        </w:tc>
        <w:tc>
          <w:tcPr>
            <w:tcW w:w="4782" w:type="dxa"/>
            <w:gridSpan w:val="2"/>
            <w:tcBorders>
              <w:top w:val="nil"/>
              <w:left w:val="nil"/>
              <w:bottom w:val="single" w:sz="4" w:space="0" w:color="auto"/>
              <w:right w:val="single" w:sz="4" w:space="0" w:color="auto"/>
            </w:tcBorders>
            <w:shd w:val="clear" w:color="auto" w:fill="auto"/>
            <w:hideMark/>
          </w:tcPr>
          <w:p w14:paraId="2C678CA2" w14:textId="6E27F13F"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determined in accordance with article 336 (1) (d) of </w:t>
            </w:r>
            <w:r w:rsidR="007403C9">
              <w:rPr>
                <w:rFonts w:ascii="Times New Roman" w:eastAsia="Times New Roman" w:hAnsi="Times New Roman" w:cs="Times New Roman"/>
                <w:sz w:val="20"/>
                <w:szCs w:val="20"/>
                <w:lang w:val="en-GB" w:eastAsia="es-ES"/>
              </w:rPr>
              <w:t>Implementing measures</w:t>
            </w:r>
            <w:r w:rsidRPr="003D6737">
              <w:rPr>
                <w:rFonts w:ascii="Times New Roman" w:eastAsia="Times New Roman" w:hAnsi="Times New Roman" w:cs="Times New Roman"/>
                <w:sz w:val="20"/>
                <w:szCs w:val="20"/>
                <w:lang w:val="en-GB" w:eastAsia="es-ES"/>
              </w:rPr>
              <w:t>.</w:t>
            </w:r>
          </w:p>
        </w:tc>
      </w:tr>
    </w:tbl>
    <w:p w14:paraId="287163A8" w14:textId="77777777" w:rsidR="00641969" w:rsidRPr="003D6737" w:rsidRDefault="00641969">
      <w:pPr>
        <w:rPr>
          <w:rFonts w:ascii="Times New Roman" w:hAnsi="Times New Roman" w:cs="Times New Roman"/>
          <w:sz w:val="20"/>
          <w:szCs w:val="20"/>
          <w:lang w:val="en-GB"/>
        </w:rPr>
      </w:pPr>
    </w:p>
    <w:sectPr w:rsidR="00641969" w:rsidRPr="003D6737"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919"/>
    <w:rsid w:val="0005516C"/>
    <w:rsid w:val="00095163"/>
    <w:rsid w:val="00097524"/>
    <w:rsid w:val="00133241"/>
    <w:rsid w:val="001A1E53"/>
    <w:rsid w:val="001B48E1"/>
    <w:rsid w:val="001D5D0F"/>
    <w:rsid w:val="001E17D5"/>
    <w:rsid w:val="001E3B82"/>
    <w:rsid w:val="0021138D"/>
    <w:rsid w:val="00233919"/>
    <w:rsid w:val="00235CA6"/>
    <w:rsid w:val="00235D4A"/>
    <w:rsid w:val="00247293"/>
    <w:rsid w:val="002551D3"/>
    <w:rsid w:val="00257E9A"/>
    <w:rsid w:val="002D3940"/>
    <w:rsid w:val="002E2864"/>
    <w:rsid w:val="002F7A7C"/>
    <w:rsid w:val="003354EC"/>
    <w:rsid w:val="00337F9F"/>
    <w:rsid w:val="003A472A"/>
    <w:rsid w:val="003D6737"/>
    <w:rsid w:val="003F7C3A"/>
    <w:rsid w:val="004143C8"/>
    <w:rsid w:val="00436A56"/>
    <w:rsid w:val="00455C7D"/>
    <w:rsid w:val="00477F1C"/>
    <w:rsid w:val="004B5219"/>
    <w:rsid w:val="004E3696"/>
    <w:rsid w:val="004E62DA"/>
    <w:rsid w:val="004F3DA8"/>
    <w:rsid w:val="0052066E"/>
    <w:rsid w:val="00532F55"/>
    <w:rsid w:val="00546581"/>
    <w:rsid w:val="00553560"/>
    <w:rsid w:val="00613EC0"/>
    <w:rsid w:val="00617A0F"/>
    <w:rsid w:val="00641969"/>
    <w:rsid w:val="0065559A"/>
    <w:rsid w:val="006557BE"/>
    <w:rsid w:val="0067576C"/>
    <w:rsid w:val="00675EBB"/>
    <w:rsid w:val="006C2F90"/>
    <w:rsid w:val="006D08B4"/>
    <w:rsid w:val="006F572F"/>
    <w:rsid w:val="00704163"/>
    <w:rsid w:val="00737DEB"/>
    <w:rsid w:val="007403C9"/>
    <w:rsid w:val="007738B2"/>
    <w:rsid w:val="007C6967"/>
    <w:rsid w:val="007E0F74"/>
    <w:rsid w:val="007E7127"/>
    <w:rsid w:val="007E7771"/>
    <w:rsid w:val="00806FC5"/>
    <w:rsid w:val="008751B8"/>
    <w:rsid w:val="008927BE"/>
    <w:rsid w:val="008A1015"/>
    <w:rsid w:val="008C415C"/>
    <w:rsid w:val="00901A0D"/>
    <w:rsid w:val="009A426B"/>
    <w:rsid w:val="009A52EB"/>
    <w:rsid w:val="009C6F74"/>
    <w:rsid w:val="009F4C8D"/>
    <w:rsid w:val="00A061E3"/>
    <w:rsid w:val="00A13454"/>
    <w:rsid w:val="00A32F71"/>
    <w:rsid w:val="00A465F2"/>
    <w:rsid w:val="00A65EAE"/>
    <w:rsid w:val="00A751D1"/>
    <w:rsid w:val="00AB349B"/>
    <w:rsid w:val="00AD211D"/>
    <w:rsid w:val="00AE0F69"/>
    <w:rsid w:val="00B205B7"/>
    <w:rsid w:val="00B40A93"/>
    <w:rsid w:val="00B853F9"/>
    <w:rsid w:val="00C07928"/>
    <w:rsid w:val="00C11FEB"/>
    <w:rsid w:val="00C339AF"/>
    <w:rsid w:val="00C54A69"/>
    <w:rsid w:val="00C67BE4"/>
    <w:rsid w:val="00CA7462"/>
    <w:rsid w:val="00CB5022"/>
    <w:rsid w:val="00D0254D"/>
    <w:rsid w:val="00D11DD1"/>
    <w:rsid w:val="00D13258"/>
    <w:rsid w:val="00D15432"/>
    <w:rsid w:val="00D2094C"/>
    <w:rsid w:val="00D77A62"/>
    <w:rsid w:val="00D77E42"/>
    <w:rsid w:val="00D8412A"/>
    <w:rsid w:val="00D936B7"/>
    <w:rsid w:val="00D94AC4"/>
    <w:rsid w:val="00E42A3F"/>
    <w:rsid w:val="00EE6385"/>
    <w:rsid w:val="00EE7571"/>
    <w:rsid w:val="00F0427D"/>
    <w:rsid w:val="00F24777"/>
    <w:rsid w:val="00F7129B"/>
    <w:rsid w:val="00F74D04"/>
    <w:rsid w:val="00F75FF7"/>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1497</Words>
  <Characters>8539</Characters>
  <Application>Microsoft Office Word</Application>
  <DocSecurity>0</DocSecurity>
  <Lines>71</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10016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12</cp:revision>
  <dcterms:created xsi:type="dcterms:W3CDTF">2014-11-10T12:39:00Z</dcterms:created>
  <dcterms:modified xsi:type="dcterms:W3CDTF">2014-12-01T14:23:00Z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